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02" w:rsidRPr="00AB7C02" w:rsidRDefault="00AB7C02" w:rsidP="00AB7C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b/>
          <w:color w:val="000000"/>
          <w:sz w:val="18"/>
          <w:szCs w:val="24"/>
          <w:lang w:eastAsia="tr-TR"/>
        </w:rPr>
        <w:t>TOBB BAŞKANI RİFAT HİSARCIKLIOĞLU'NUN,</w:t>
      </w:r>
    </w:p>
    <w:p w:rsidR="00AB7C02" w:rsidRPr="00AB7C02" w:rsidRDefault="00AB7C02" w:rsidP="00AB7C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b/>
          <w:color w:val="000000"/>
          <w:sz w:val="18"/>
          <w:szCs w:val="24"/>
          <w:lang w:eastAsia="tr-TR"/>
        </w:rPr>
        <w:t>ALTERNATİF UYUŞMAZLIK ÇÖZÜM YÖNTEMLERİ SEMPOZYUMU</w:t>
      </w:r>
    </w:p>
    <w:p w:rsidR="00AB7C02" w:rsidRPr="00AB7C02" w:rsidRDefault="00AB7C02" w:rsidP="00AB7C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b/>
          <w:color w:val="000000"/>
          <w:sz w:val="18"/>
          <w:szCs w:val="24"/>
          <w:lang w:eastAsia="tr-TR"/>
        </w:rPr>
        <w:t xml:space="preserve"> AÇILIŞ KONUŞMASI </w:t>
      </w:r>
    </w:p>
    <w:p w:rsidR="00CE5DB0" w:rsidRPr="00AB7C02" w:rsidRDefault="00AB7C02" w:rsidP="00AB7C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b/>
          <w:color w:val="000000"/>
          <w:sz w:val="18"/>
          <w:szCs w:val="24"/>
          <w:lang w:eastAsia="tr-TR"/>
        </w:rPr>
        <w:t>14.10.2015/ANTALYA</w:t>
      </w:r>
    </w:p>
    <w:p w:rsidR="00CE5DB0" w:rsidRPr="00AB7C02" w:rsidRDefault="00CE5DB0" w:rsidP="009867C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24"/>
          <w:lang w:eastAsia="tr-TR"/>
        </w:rPr>
      </w:pPr>
    </w:p>
    <w:p w:rsidR="009867C9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Toplumların ortaya çıktığı ilk günden bu yana baktığımızda;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nerede bir toplum varsa, orada öyle ya da böyle bir hukukun varlığından söz edebiliriz.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Gelişmiş ülkelerin bugünkü seviyelere ulaşmalarında, hukuk devleti kavramına sahip çıkmalarının payı büyüktür.</w:t>
      </w:r>
    </w:p>
    <w:p w:rsidR="00CE5DB0" w:rsidRPr="00AB7C02" w:rsidRDefault="00CE5DB0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</w:p>
    <w:p w:rsidR="009867C9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En büyük siyasi ve iktisadi güce sahip ABD’de, Başkanların ekseriyeti hukukçular arasından çık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maktadır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.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Çünkü hukuk </w:t>
      </w:r>
      <w:proofErr w:type="gramStart"/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nosyonuna</w:t>
      </w:r>
      <w:proofErr w:type="gramEnd"/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sahip olmak, hem kamu idari yapısını, hem de insan ilişkilerini daha çabuk ve etkili şekilde anlamayı sağlıyor.</w:t>
      </w:r>
    </w:p>
    <w:p w:rsidR="00CE5DB0" w:rsidRPr="00AB7C02" w:rsidRDefault="00CE5DB0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</w:p>
    <w:p w:rsidR="00CE5DB0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Yine bakıyorsunuz, hukuk eğitimi, ABD’de en çok önem verilen eğitim konularının başında geliyor.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Hukuk eğitimi almak başlı başına bir ayrıcalık olarak görülüyor.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</w:p>
    <w:p w:rsidR="00CE5DB0" w:rsidRPr="00AB7C02" w:rsidRDefault="00CE5DB0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</w:p>
    <w:p w:rsidR="009867C9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Esasında bizim geçmişimiz de benzer tecrübelere sahibiz.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Fatih kanunnamesi, Osmanlı’nın ilk Anayasası olarak, bölgesel bir krallıktan, İmparatorluğa geçişin altyapısını hazırlamıştır.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Sonrasında, Sultan Süleyman’a Kanuni sıfatını kazandıran kanunnameleri, Osmanlı’nın bir cihan devletine dönüşmesini sağladı.</w:t>
      </w:r>
    </w:p>
    <w:p w:rsidR="009867C9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Yine bizim kültürümüze, inancımıza bakıyoruz.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Mülkün temelinde Adaletin olduğunu görüyoruz.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O yüzden de adalet terazisinin dengesini korumaya mecburuz.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Çok beğendiğim bir söz var. Adalet kutup yıldızı gibidir. Yerinde durur ve geri kalan her şey onun etrafında döner.</w:t>
      </w:r>
    </w:p>
    <w:p w:rsidR="00CE5DB0" w:rsidRPr="00AB7C02" w:rsidRDefault="00CE5DB0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</w:p>
    <w:p w:rsidR="009867C9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Ülkemiz için de bizim temennimiz ve en büyük arzumuz, hukukun en iyi şekilde işlemesidir.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Yine toplumların ortaya çıkışından itibaren, ekonomi ve hukuk hep birlikte var olmuştur. 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B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irbirini tamamlamıştır.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Öyle ki, bugün, birbirini devamlı etkileyen ayrılmaz iki olgu olarak, yaşamımızın parçası olmuşlardır.</w:t>
      </w:r>
    </w:p>
    <w:p w:rsidR="00CE5DB0" w:rsidRPr="00AB7C02" w:rsidRDefault="00CE5DB0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</w:p>
    <w:p w:rsidR="009867C9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İyi işleyen bir hukuk sisteminin olmadığı yerde, bireylerin birbirlerine ve kurumlara karşı güveninden söz edemeyiz.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Böyle bir ortamda huzur yoktur ve tabi ki sağlam bir ekonomiden de söz edilemez.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Bu nedenle, huzurumuz ve güvenimiz için, güçlü bir ekonomiye sahip olmanın temel şartlarının başında;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iyi işleyen bir hukuk sistemine sahip olmak gelmektedir.</w:t>
      </w:r>
    </w:p>
    <w:p w:rsidR="00CE5DB0" w:rsidRPr="00AB7C02" w:rsidRDefault="00CE5DB0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</w:p>
    <w:p w:rsidR="009867C9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Öncelikle belirtmek isterim ki, biz iş adamları için vakit nakittir.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Bu nedenle, özellikle ticari ihtilaflarımızın çözümünün hızlı, pratik ve güvenilir bir şekilde yapılması, bizim için çok önemlidir. </w:t>
      </w:r>
    </w:p>
    <w:p w:rsidR="00CE5DB0" w:rsidRPr="00AB7C02" w:rsidRDefault="00CE5DB0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</w:p>
    <w:p w:rsidR="009867C9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Ticari uyuşmazlıkların adil bir çözüme ulaşmadığı bir ortamda;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iş dünyası ya atacağı adımları güvensiz atmak zorunda kalır ya da bu adımları atmayarak mevcut durumunu korur.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Bunun bir sonucu olarak, ticaret ve ekonomik büyüme olumsuz etkilenir.</w:t>
      </w:r>
    </w:p>
    <w:p w:rsidR="00CE5DB0" w:rsidRPr="00AB7C02" w:rsidRDefault="00CE5DB0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</w:p>
    <w:p w:rsidR="009867C9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Bu yüzden iş dünyamız, ticari uyuşmazlıklarda alternatif uyuşmazlık ç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özüm yöntemlerini çok benimsemektedir.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Hayata geçtiği andan itibaren tahkim ve arabuluculuk, iş dünyasının sıklıkla tercih ettiği yöntemler olmuştur.</w:t>
      </w:r>
    </w:p>
    <w:p w:rsidR="00CE5DB0" w:rsidRPr="00AB7C02" w:rsidRDefault="00CE5DB0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</w:p>
    <w:p w:rsidR="009867C9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Günümüzdeki Oda sisteminin tarihi kökeni olan Ahilik ve Lonca sisteminde, tahkim ve arabuluculuğun var olduğunu görüyoruz.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Ticari uyuşmazlıklar, Ahi Ocağında ve </w:t>
      </w:r>
      <w:proofErr w:type="spellStart"/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Lonca’da</w:t>
      </w:r>
      <w:proofErr w:type="spellEnd"/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çözülürmüş.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Tarihimizde, kültürümüzde var olan bu yöntemleri, biz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ler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unutmuşuz. Ama batı ülkeleri sahip çıkıp, geliştirmiş. Esasında şimdi aslımıza dön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meye çalışıyoruz.</w:t>
      </w:r>
    </w:p>
    <w:p w:rsidR="00CE5DB0" w:rsidRPr="00AB7C02" w:rsidRDefault="00CE5DB0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</w:p>
    <w:p w:rsidR="009867C9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Bu çerçevede, TOBB olarak; Ticaret ve Sanayi Odalarımızda arabuluculuk merkezleri oluşturmaya başladık.</w:t>
      </w:r>
      <w:r w:rsidR="00CE5DB0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İstanbul Tahkim Merkezi’ni kurduk. Bugün aramızda bulunan </w:t>
      </w:r>
      <w:proofErr w:type="gramStart"/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duayen</w:t>
      </w:r>
      <w:proofErr w:type="gramEnd"/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bir hukukçumuz Prof.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Ziya Akıncı, merkezin başkanlığına seçildi.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Ülkemizde alternatif uyuşmazlık yöntemlerinin kullanımı arttıkça, İstanbul bu coğrafyada uyuşmazlık çözüm merkezi haline gelecek.</w:t>
      </w:r>
    </w:p>
    <w:p w:rsidR="00180814" w:rsidRPr="00AB7C02" w:rsidRDefault="00180814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</w:p>
    <w:p w:rsidR="009867C9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Ülkemizde olduğu gibi komşu coğrafyamızda da tahkim ve arabuluculuk konusunda Türk iş dünyası olarak tecrübelerimizi paylaşıyoruz.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Türk iş dünyasının Başkanı olarak, Filistinli ve İsrailli iş adamları arasındaki anlaşmazlıkların çözümü için kurulan Kudüs Tahkim Merkezi’nin Başkanlığını yürütüyorum.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Yine Lefkoşa Forumu çalışmalarımız kapsamında, Kıbrıs’ta Türk ve Rum iş dünyası arasında yaşanan anlaşmazlıkların çözümü için, Lefkoşa Tahkim Merkezi’nin kuruluş çalışmalarına devam ediyoruz.</w:t>
      </w:r>
    </w:p>
    <w:p w:rsidR="00180814" w:rsidRPr="00AB7C02" w:rsidRDefault="00180814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</w:p>
    <w:p w:rsidR="009867C9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bookmarkStart w:id="0" w:name="_GoBack"/>
      <w:bookmarkEnd w:id="0"/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Son yıllarda toplum olarak ne yazık ki, husumeti, dava açmayı, mahkemeleri seven 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bir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millet haline geldik.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Uyuşmazlığın miktarı konusu ne olursa olsun, uzlaşma yeri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ne mahkemeleri tercih eder hale geldik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Mahkemelerimiz, hâkimlerimiz artık bu yükü kaldıramıyor.</w:t>
      </w:r>
    </w:p>
    <w:p w:rsidR="00180814" w:rsidRPr="00AB7C02" w:rsidRDefault="00180814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</w:p>
    <w:p w:rsidR="009867C9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Ticaret Mahkemelerinde bir dava ortalama 311 gün, İş Mahkemelerinde 381 gün, Fikri ve </w:t>
      </w:r>
      <w:proofErr w:type="spellStart"/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Sinai</w:t>
      </w:r>
      <w:proofErr w:type="spellEnd"/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Haklarda ise 425 gün sürüyor.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Bu süreçte de herkes zarar görüyor.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Bu nedenle, alternatif uyuşmazlık çözüm yöntemlerinin, diğer ülke uygulamaları da incelenerek çeşitlendirilmesi ve yaygınlaştırılması;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uzlaşma kültürünü yaygınlaştıracağı gibi, yargının iş yükünü hafifletecektir.</w:t>
      </w:r>
    </w:p>
    <w:p w:rsidR="00180814" w:rsidRPr="00AB7C02" w:rsidRDefault="00180814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</w:p>
    <w:p w:rsidR="009867C9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lastRenderedPageBreak/>
        <w:t>Özel Sektör temsilcileri olarak bizler, her alanda olduğu gibi hukuk sistemimizle ilgili olarak da hükümetimiz ve kamu kurumlarımızla yakın çalışma içerisindeyiz.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Bu kapsamda, 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Sayın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Bakanımız ile olduğu gibi önceki Adalet Bakanlarımız ile de yakın çalışma içerisinde olduk.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Nitekim birlikte çalışarak, yeni Ticaret Kanunu, yeni Borçlar Kanunu, Arabuluculuk Kanunu ve İstanbul Tahkim Merkezi Kanunu yürürlüğe girdi.</w:t>
      </w:r>
    </w:p>
    <w:p w:rsidR="00180814" w:rsidRPr="00AB7C02" w:rsidRDefault="00180814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</w:p>
    <w:p w:rsidR="009867C9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Yine sizlerle birlikte çalıştığımız YOİKK - Yatırım Ortamı Mevzuatı ve Hukuksal Süreçler Komitesi çalışmaları sonucunda, Bilirkişilik Kanun Tasarı Taslağı hazırlandı.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Yüksek Yargı Kararlarının yayınlanması kabul edildi.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Artık, Yargıtay ve Danıştay kararları yayınlanmaya başlandı.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Hukukun öngörülebilir olması da, bu tür çalışmalar sonrası mümkün olacaktır.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Yüksek yargı kararlarının yayınlanması çalışmalarında emeği geçenlere bir vatandaş ve Türk özel sektörü adına teşekkür ediyorum.</w:t>
      </w:r>
    </w:p>
    <w:p w:rsidR="00180814" w:rsidRPr="00AB7C02" w:rsidRDefault="00180814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</w:p>
    <w:p w:rsidR="009867C9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Hukuk sistemi iyi olan bir Türkiye, sadece kendi vatandaşlarının huzur ve güven içerisinde yaşadığı ülke olarak değil;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aynı zamanda, ekonomik ve sosyal alanlarda bölge halkları için de çekim merkezi olacaktır.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Politik riski düşük bir yatırım merkezi olacaktır.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Zira ekmek ve su, yaşam için nasıl ihtiyaç ise, refah, zenginlik, demokrasi için de hukuk öyle bir ihtiyaçtır.</w:t>
      </w:r>
    </w:p>
    <w:p w:rsidR="00180814" w:rsidRPr="00AB7C02" w:rsidRDefault="00180814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</w:p>
    <w:p w:rsidR="009867C9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Biz ekonomi alanında ne yaparsak yapalım, eğer bir hukuk devleti olmamızla ilgili sıkıntı yaşanıyorsa;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bu başarıların hiçbiri kalıcı olmayacaktır.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Eğer kurallar açık ve şeffaf değilse, davalar çok uzun sürüyorsa, bilirkişilik müessesesi ile ilgili ciddi sıkıntılar oluştuysa;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kararlar tutarlı değilse, alt mahkeme ile üst mahkeme birbirinden tamamen farklı sonuçlara varabiliyorsa;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bu iş dünyası açısından ve tabii ki ekonomi açısından son derece sıkıntılı bir tablo oluşturur.</w:t>
      </w:r>
    </w:p>
    <w:p w:rsidR="00180814" w:rsidRPr="00AB7C02" w:rsidRDefault="00180814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</w:p>
    <w:p w:rsidR="009867C9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Yargının, mutlaka evrensel hukuk ilkeleri çerçevesinde; Anayasa, yasalar ve belki de daha önemlisi vicdan ile hareket etmesi gerekiyor.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Yasaların bir dili var, bir de ruhu var. Onun için vicdan faktörü çok önemli.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</w:p>
    <w:p w:rsidR="00180814" w:rsidRPr="00AB7C02" w:rsidRDefault="00180814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</w:p>
    <w:p w:rsidR="009867C9" w:rsidRPr="00AB7C02" w:rsidRDefault="009867C9" w:rsidP="009867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tr-TR"/>
        </w:rPr>
      </w:pP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Biz evrensel hukuk normlarını </w:t>
      </w:r>
      <w:proofErr w:type="gramStart"/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baz</w:t>
      </w:r>
      <w:proofErr w:type="gramEnd"/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alan bir sistem arzu ediyoruz.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Anayasamızın kolay, anlaşılır, sade bir anayasa olmasını arzu ediyoruz.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Yasalarımızın kısa, öz ve anlaşılır olmasını arzu ediyoruz.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Bunun yanında, yargı sisteminin hem bağımsız hem tarafsız işlemesi gerektiğini söylüyoruz.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Bunlarda ne kadar başarılı olursak demokrasimiz ve ekonomimiz o kadar güçlenecek.</w:t>
      </w:r>
      <w:r w:rsidR="00180814"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 xml:space="preserve"> </w:t>
      </w:r>
      <w:r w:rsidRPr="00AB7C02">
        <w:rPr>
          <w:rFonts w:ascii="Arial" w:eastAsia="Times New Roman" w:hAnsi="Arial" w:cs="Arial"/>
          <w:color w:val="000000"/>
          <w:sz w:val="18"/>
          <w:szCs w:val="24"/>
          <w:lang w:eastAsia="tr-TR"/>
        </w:rPr>
        <w:t>Daha güçlü bir ülke, daha zengin bir millet olacağız.</w:t>
      </w:r>
    </w:p>
    <w:p w:rsidR="00B00085" w:rsidRPr="00AB7C02" w:rsidRDefault="00B00085" w:rsidP="009867C9">
      <w:pPr>
        <w:jc w:val="both"/>
        <w:rPr>
          <w:rFonts w:ascii="Arial" w:hAnsi="Arial" w:cs="Arial"/>
          <w:sz w:val="18"/>
          <w:szCs w:val="24"/>
        </w:rPr>
      </w:pPr>
    </w:p>
    <w:sectPr w:rsidR="00B00085" w:rsidRPr="00AB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05" w:rsidRDefault="00C35105" w:rsidP="00CE5DB0">
      <w:pPr>
        <w:spacing w:after="0" w:line="240" w:lineRule="auto"/>
      </w:pPr>
      <w:r>
        <w:separator/>
      </w:r>
    </w:p>
  </w:endnote>
  <w:endnote w:type="continuationSeparator" w:id="0">
    <w:p w:rsidR="00C35105" w:rsidRDefault="00C35105" w:rsidP="00CE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05" w:rsidRDefault="00C35105" w:rsidP="00CE5DB0">
      <w:pPr>
        <w:spacing w:after="0" w:line="240" w:lineRule="auto"/>
      </w:pPr>
      <w:r>
        <w:separator/>
      </w:r>
    </w:p>
  </w:footnote>
  <w:footnote w:type="continuationSeparator" w:id="0">
    <w:p w:rsidR="00C35105" w:rsidRDefault="00C35105" w:rsidP="00CE5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C9"/>
    <w:rsid w:val="0011650C"/>
    <w:rsid w:val="00180814"/>
    <w:rsid w:val="00485E63"/>
    <w:rsid w:val="009867C9"/>
    <w:rsid w:val="00AB7C02"/>
    <w:rsid w:val="00B00085"/>
    <w:rsid w:val="00BE532A"/>
    <w:rsid w:val="00C35105"/>
    <w:rsid w:val="00C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867C9"/>
  </w:style>
  <w:style w:type="paragraph" w:styleId="stbilgi">
    <w:name w:val="header"/>
    <w:basedOn w:val="Normal"/>
    <w:link w:val="stbilgiChar"/>
    <w:uiPriority w:val="99"/>
    <w:unhideWhenUsed/>
    <w:rsid w:val="00CE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5DB0"/>
  </w:style>
  <w:style w:type="paragraph" w:styleId="Altbilgi">
    <w:name w:val="footer"/>
    <w:basedOn w:val="Normal"/>
    <w:link w:val="AltbilgiChar"/>
    <w:uiPriority w:val="99"/>
    <w:unhideWhenUsed/>
    <w:rsid w:val="00CE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5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867C9"/>
  </w:style>
  <w:style w:type="paragraph" w:styleId="stbilgi">
    <w:name w:val="header"/>
    <w:basedOn w:val="Normal"/>
    <w:link w:val="stbilgiChar"/>
    <w:uiPriority w:val="99"/>
    <w:unhideWhenUsed/>
    <w:rsid w:val="00CE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5DB0"/>
  </w:style>
  <w:style w:type="paragraph" w:styleId="Altbilgi">
    <w:name w:val="footer"/>
    <w:basedOn w:val="Normal"/>
    <w:link w:val="AltbilgiChar"/>
    <w:uiPriority w:val="99"/>
    <w:unhideWhenUsed/>
    <w:rsid w:val="00CE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4</cp:revision>
  <dcterms:created xsi:type="dcterms:W3CDTF">2015-10-14T05:38:00Z</dcterms:created>
  <dcterms:modified xsi:type="dcterms:W3CDTF">2015-10-14T09:41:00Z</dcterms:modified>
</cp:coreProperties>
</file>